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BẢO TÀNG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14h00 - 17h00, ngày 07 tháng 02 năm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Bảo tàng Chứng tích Chiến tranh (28 Võ Văn Tần, Phường 6 (trước đổi tên là Xuân Hòa), Quận 3, TP. Hồ Chí Minh.)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Lâm Chí Hào</w:t>
      </w:r>
      <w:r w:rsidDel="00000000" w:rsidR="00000000" w:rsidRPr="00000000">
        <w:rPr>
          <w:sz w:val="26"/>
          <w:szCs w:val="26"/>
          <w:rtl w:val="0"/>
        </w:rPr>
        <w:t xml:space="preserve"> - Chi Hội trưởng chi Hội 24C03 (Số điện thoại/Zalo: 0797222107).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Nhựt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Chí Hào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Quốc Học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Bảo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Công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Thái Kiệt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Thị Bích Loan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Gia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Đăng Hậu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Thái Quang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Vũ Anh Kiệt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Khánh Linh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Mỹ Ngọc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Thái Hòa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Nguyễn Đăng Khoa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Thiện Nhân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Cao Phong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Phúc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Anh Trí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5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6 năm 2026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Lâm Chí Hào</w:t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